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13B494" w14:textId="77777777" w:rsidR="00314723" w:rsidRPr="003C2DB7" w:rsidRDefault="00314723">
      <w:pPr>
        <w:rPr>
          <w:rFonts w:cs="Times New Roman"/>
          <w:sz w:val="20"/>
          <w:szCs w:val="20"/>
          <w:lang w:bidi="ar-SA"/>
        </w:rPr>
      </w:pPr>
    </w:p>
    <w:p w14:paraId="48033EF2" w14:textId="77777777" w:rsidR="00314723" w:rsidRPr="003C2DB7" w:rsidRDefault="003C2DB7">
      <w:pPr>
        <w:rPr>
          <w:rFonts w:cs="Times New Roman"/>
        </w:rPr>
      </w:pPr>
      <w:r w:rsidRPr="003C2DB7">
        <w:rPr>
          <w:rFonts w:cs="Times New Roman"/>
        </w:rPr>
        <w:t xml:space="preserve">Rozbudowa mikroskopii wirtualnej i telepatologii, dodatkowe moduły systemu </w:t>
      </w:r>
      <w:proofErr w:type="spellStart"/>
      <w:r w:rsidRPr="003C2DB7">
        <w:rPr>
          <w:rFonts w:cs="Times New Roman"/>
        </w:rPr>
        <w:t>PatARCH</w:t>
      </w:r>
      <w:proofErr w:type="spellEnd"/>
      <w:r w:rsidRPr="003C2DB7">
        <w:rPr>
          <w:rFonts w:cs="Times New Roman"/>
        </w:rPr>
        <w:t xml:space="preserve"> – szt. 1</w:t>
      </w:r>
    </w:p>
    <w:p w14:paraId="3F92B80F" w14:textId="77777777" w:rsidR="00314723" w:rsidRPr="003C2DB7" w:rsidRDefault="00314723">
      <w:pPr>
        <w:rPr>
          <w:rFonts w:cs="Times New Roman"/>
        </w:rPr>
      </w:pPr>
    </w:p>
    <w:tbl>
      <w:tblPr>
        <w:tblW w:w="10032" w:type="dxa"/>
        <w:tblInd w:w="-2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40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811"/>
        <w:gridCol w:w="4486"/>
        <w:gridCol w:w="1280"/>
        <w:gridCol w:w="1413"/>
        <w:gridCol w:w="2042"/>
      </w:tblGrid>
      <w:tr w:rsidR="00314723" w:rsidRPr="003C2DB7" w14:paraId="306E4007" w14:textId="77777777">
        <w:trPr>
          <w:cantSplit/>
          <w:trHeight w:val="510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AABF1BC" w14:textId="77777777" w:rsidR="00314723" w:rsidRPr="003C2DB7" w:rsidRDefault="003C2DB7">
            <w:pPr>
              <w:ind w:left="5"/>
              <w:rPr>
                <w:rFonts w:cs="Times New Roman"/>
                <w:b/>
                <w:sz w:val="20"/>
                <w:szCs w:val="20"/>
              </w:rPr>
            </w:pPr>
            <w:r w:rsidRPr="003C2DB7">
              <w:rPr>
                <w:rFonts w:cs="Times New Roman"/>
                <w:b/>
                <w:sz w:val="20"/>
                <w:szCs w:val="20"/>
              </w:rPr>
              <w:t>L.p.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165B4C8" w14:textId="77777777" w:rsidR="00314723" w:rsidRPr="003C2DB7" w:rsidRDefault="003C2DB7">
            <w:pPr>
              <w:rPr>
                <w:rFonts w:cs="Times New Roman"/>
                <w:b/>
                <w:sz w:val="20"/>
                <w:szCs w:val="20"/>
              </w:rPr>
            </w:pPr>
            <w:r w:rsidRPr="003C2DB7">
              <w:rPr>
                <w:rFonts w:cs="Times New Roman"/>
                <w:b/>
                <w:sz w:val="20"/>
                <w:szCs w:val="20"/>
              </w:rPr>
              <w:t>Parametry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5D51D52" w14:textId="77777777" w:rsidR="00314723" w:rsidRPr="003C2DB7" w:rsidRDefault="003C2DB7">
            <w:pPr>
              <w:jc w:val="center"/>
              <w:rPr>
                <w:rFonts w:cs="Times New Roman"/>
                <w:b/>
                <w:sz w:val="20"/>
                <w:szCs w:val="20"/>
              </w:rPr>
            </w:pPr>
            <w:r w:rsidRPr="003C2DB7">
              <w:rPr>
                <w:rFonts w:cs="Times New Roman"/>
                <w:b/>
                <w:sz w:val="20"/>
                <w:szCs w:val="20"/>
              </w:rPr>
              <w:t>Parametr wymagany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BD2A342" w14:textId="77777777" w:rsidR="00314723" w:rsidRPr="003C2DB7" w:rsidRDefault="003C2DB7">
            <w:pPr>
              <w:rPr>
                <w:rFonts w:cs="Times New Roman"/>
                <w:b/>
                <w:sz w:val="20"/>
                <w:szCs w:val="20"/>
              </w:rPr>
            </w:pPr>
            <w:r w:rsidRPr="003C2DB7">
              <w:rPr>
                <w:rFonts w:cs="Times New Roman"/>
                <w:b/>
                <w:sz w:val="20"/>
                <w:szCs w:val="20"/>
              </w:rPr>
              <w:t>Parametr oferowany</w:t>
            </w: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ACE1E53" w14:textId="77777777" w:rsidR="00314723" w:rsidRPr="003C2DB7" w:rsidRDefault="003C2DB7">
            <w:pPr>
              <w:rPr>
                <w:rFonts w:cs="Times New Roman"/>
                <w:b/>
                <w:sz w:val="20"/>
                <w:szCs w:val="20"/>
              </w:rPr>
            </w:pPr>
            <w:r w:rsidRPr="003C2DB7">
              <w:rPr>
                <w:rFonts w:cs="Times New Roman"/>
                <w:b/>
                <w:sz w:val="20"/>
                <w:szCs w:val="20"/>
              </w:rPr>
              <w:t>Punktacja</w:t>
            </w:r>
          </w:p>
        </w:tc>
      </w:tr>
      <w:tr w:rsidR="00314723" w:rsidRPr="003C2DB7" w14:paraId="27E2B91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9B1946" w14:textId="77777777" w:rsidR="00314723" w:rsidRPr="003C2DB7" w:rsidRDefault="003C2DB7">
            <w:pPr>
              <w:ind w:left="5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2545E8" w14:textId="77777777" w:rsidR="00314723" w:rsidRPr="003C2DB7" w:rsidRDefault="003C2DB7">
            <w:pPr>
              <w:ind w:right="24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Se</w:t>
            </w:r>
            <w:r w:rsidRPr="003C2DB7">
              <w:rPr>
                <w:rFonts w:cs="Times New Roman"/>
                <w:sz w:val="20"/>
                <w:szCs w:val="20"/>
              </w:rPr>
              <w:t xml:space="preserve">rwer do przechowywania skanów wraz </w:t>
            </w:r>
            <w:r w:rsidRPr="003C2DB7">
              <w:rPr>
                <w:rFonts w:cs="Times New Roman"/>
                <w:b/>
                <w:bCs/>
                <w:sz w:val="20"/>
                <w:szCs w:val="20"/>
              </w:rPr>
              <w:t xml:space="preserve">  z oprogramowaniem do cyfrowej patomorfologii: System </w:t>
            </w:r>
            <w:proofErr w:type="spellStart"/>
            <w:r w:rsidRPr="003C2DB7">
              <w:rPr>
                <w:rFonts w:cs="Times New Roman"/>
                <w:b/>
                <w:bCs/>
                <w:sz w:val="20"/>
                <w:szCs w:val="20"/>
              </w:rPr>
              <w:t>telekonsultacji</w:t>
            </w:r>
            <w:proofErr w:type="spellEnd"/>
            <w:r w:rsidRPr="003C2DB7">
              <w:rPr>
                <w:rFonts w:cs="Times New Roman"/>
                <w:b/>
                <w:bCs/>
                <w:sz w:val="20"/>
                <w:szCs w:val="20"/>
              </w:rPr>
              <w:t xml:space="preserve"> cyfrowych skanów preparatów mikroskopowych wraz z algorytmami sztucznej inteligencji do analizy obrazu oraz z integracją ze skanerem w ramach rozbudowy posiadanego przez Zamawiającego s</w:t>
            </w:r>
            <w:r w:rsidRPr="003C2DB7">
              <w:rPr>
                <w:rFonts w:cs="Times New Roman"/>
                <w:b/>
                <w:bCs/>
                <w:sz w:val="20"/>
                <w:szCs w:val="20"/>
              </w:rPr>
              <w:t xml:space="preserve">ystemu </w:t>
            </w:r>
            <w:proofErr w:type="spellStart"/>
            <w:r w:rsidRPr="003C2DB7">
              <w:rPr>
                <w:rFonts w:cs="Times New Roman"/>
                <w:b/>
                <w:bCs/>
                <w:sz w:val="20"/>
                <w:szCs w:val="20"/>
              </w:rPr>
              <w:t>PatARCH</w:t>
            </w:r>
            <w:proofErr w:type="spellEnd"/>
            <w:r w:rsidRPr="003C2DB7">
              <w:rPr>
                <w:rFonts w:cs="Times New Roman"/>
                <w:b/>
                <w:bCs/>
                <w:sz w:val="20"/>
                <w:szCs w:val="20"/>
              </w:rPr>
              <w:t xml:space="preserve"> – </w:t>
            </w:r>
            <w:proofErr w:type="spellStart"/>
            <w:r w:rsidRPr="003C2DB7">
              <w:rPr>
                <w:rFonts w:cs="Times New Roman"/>
                <w:b/>
                <w:bCs/>
                <w:sz w:val="20"/>
                <w:szCs w:val="20"/>
              </w:rPr>
              <w:t>szt</w:t>
            </w:r>
            <w:proofErr w:type="spellEnd"/>
            <w:r w:rsidRPr="003C2DB7">
              <w:rPr>
                <w:rFonts w:cs="Times New Roman"/>
                <w:b/>
                <w:bCs/>
                <w:sz w:val="20"/>
                <w:szCs w:val="20"/>
              </w:rPr>
              <w:t xml:space="preserve"> 1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5F7A6F5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8CCB807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0BCD922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78082EF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E40CC9" w14:textId="77777777" w:rsidR="00314723" w:rsidRPr="003C2DB7" w:rsidRDefault="003C2DB7">
            <w:pPr>
              <w:ind w:left="5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1.1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ACB5BE7" w14:textId="77777777" w:rsidR="00314723" w:rsidRPr="003C2DB7" w:rsidRDefault="003C2DB7">
            <w:pPr>
              <w:ind w:right="24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Założenia podstawowe funkcjonowania: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6918170" w14:textId="77777777" w:rsidR="00314723" w:rsidRPr="003C2DB7" w:rsidRDefault="003147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71F7B55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DCB36F4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D4EC146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FFA5F4" w14:textId="77777777" w:rsidR="00314723" w:rsidRPr="003C2DB7" w:rsidRDefault="00314723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68E8032" w14:textId="77777777" w:rsidR="00314723" w:rsidRPr="003C2DB7" w:rsidRDefault="003C2DB7">
            <w:pPr>
              <w:rPr>
                <w:rFonts w:cs="Times New Roman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Integracja oferowanego rozwiązania ze skanerem preparatów będącym w posiadaniu Zamawiającego: Hamamatsu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NanoZommer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 SQ,</w:t>
            </w:r>
          </w:p>
          <w:p w14:paraId="43D8D010" w14:textId="77777777" w:rsidR="00314723" w:rsidRPr="003C2DB7" w:rsidRDefault="003C2DB7">
            <w:pPr>
              <w:rPr>
                <w:rFonts w:cs="Times New Roman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oraz dodatkowego skanera w okresie wsparcia </w:t>
            </w:r>
            <w:r w:rsidRPr="003C2DB7">
              <w:rPr>
                <w:rFonts w:cs="Times New Roman"/>
                <w:sz w:val="20"/>
                <w:szCs w:val="20"/>
              </w:rPr>
              <w:t>technicznego.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FB2BDBE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7260A40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9640633" w14:textId="77777777" w:rsidR="00314723" w:rsidRPr="003C2DB7" w:rsidRDefault="00314723">
            <w:pPr>
              <w:snapToGrid w:val="0"/>
              <w:rPr>
                <w:rFonts w:cs="Times New Roman"/>
                <w:color w:val="CE181E"/>
                <w:sz w:val="20"/>
                <w:szCs w:val="20"/>
              </w:rPr>
            </w:pPr>
          </w:p>
        </w:tc>
      </w:tr>
      <w:tr w:rsidR="00314723" w:rsidRPr="003C2DB7" w14:paraId="0D076857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1595FBC" w14:textId="77777777" w:rsidR="00314723" w:rsidRPr="003C2DB7" w:rsidRDefault="00314723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CBAB02D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Automatyczny import zeskanowanych preparatów ze skanera do systemu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 wraz z przechowywaniem skanów na wskazanym serwerze.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1057201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8F39163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31D7B13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731A5198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03A7C50" w14:textId="77777777" w:rsidR="00314723" w:rsidRPr="003C2DB7" w:rsidRDefault="00314723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EBFF76F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Możliwość wykonania powtórnego skanu danego preparatu (np. w przypadku </w:t>
            </w:r>
            <w:r w:rsidRPr="003C2DB7">
              <w:rPr>
                <w:rFonts w:cs="Times New Roman"/>
                <w:sz w:val="20"/>
                <w:szCs w:val="20"/>
              </w:rPr>
              <w:t>niedostatecznej jakości technicznej lub przy zastosowaniu innych parametrów skanowania) z zachowaniem poprzedniej wersji skanu.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584263A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9BB7528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78A638F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0752881D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B91C98" w14:textId="77777777" w:rsidR="00314723" w:rsidRPr="003C2DB7" w:rsidRDefault="00314723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8ACE1A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Integracja umożliwia wyświetlanie skanu preparatu w systemie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 w kontekście tego preparatu, bez </w:t>
            </w:r>
            <w:r w:rsidRPr="003C2DB7">
              <w:rPr>
                <w:rFonts w:cs="Times New Roman"/>
                <w:sz w:val="20"/>
                <w:szCs w:val="20"/>
              </w:rPr>
              <w:t>konieczności powtórnego logowania się użytkownika i stosowania dodatkowych aplikacji.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B11C850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43E6B1F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9A057BC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0BED8114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43C7896" w14:textId="77777777" w:rsidR="00314723" w:rsidRPr="003C2DB7" w:rsidRDefault="00314723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EAC0E0" w14:textId="77777777" w:rsidR="00314723" w:rsidRPr="003C2DB7" w:rsidRDefault="003C2DB7">
            <w:pPr>
              <w:rPr>
                <w:rFonts w:cs="Times New Roman"/>
              </w:rPr>
            </w:pPr>
            <w:r w:rsidRPr="003C2DB7">
              <w:rPr>
                <w:rFonts w:cs="Times New Roman"/>
                <w:sz w:val="20"/>
                <w:szCs w:val="20"/>
              </w:rPr>
              <w:t>Notyfikacja zlecającego po uzyskaniu dostępności skanu ze skanera, jeżeli osoba zlecająca skan zaznaczy taką opcję.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EF61590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1A5F407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68F8BA8" w14:textId="77777777" w:rsidR="00314723" w:rsidRPr="003C2DB7" w:rsidRDefault="00314723">
            <w:pPr>
              <w:snapToGrid w:val="0"/>
              <w:rPr>
                <w:rFonts w:cs="Times New Roman"/>
                <w:color w:val="CE181E"/>
              </w:rPr>
            </w:pPr>
          </w:p>
        </w:tc>
      </w:tr>
      <w:tr w:rsidR="00314723" w:rsidRPr="003C2DB7" w14:paraId="4E754123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7D95F6" w14:textId="77777777" w:rsidR="00314723" w:rsidRPr="003C2DB7" w:rsidRDefault="00314723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9EED2F6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Obsługa miniaturek </w:t>
            </w:r>
            <w:r w:rsidRPr="003C2DB7">
              <w:rPr>
                <w:rFonts w:cs="Times New Roman"/>
                <w:sz w:val="20"/>
                <w:szCs w:val="20"/>
              </w:rPr>
              <w:t>(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thumbnails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) zeskanowanych preparatów prezentowanych w kontekście preparatów w systemie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>. Miniaturki są widoczne w systemie, tworząc „wirtualną teczkę” patomorfologa.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A2003FB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9457B24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991EE71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FB2ED95" w14:textId="77777777">
        <w:trPr>
          <w:cantSplit/>
          <w:trHeight w:val="384"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350BEA0" w14:textId="77777777" w:rsidR="00314723" w:rsidRPr="003C2DB7" w:rsidRDefault="00314723">
            <w:pPr>
              <w:ind w:left="5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BADAA9C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Obsługa zapobiegania usunięciu istotnych („ważnych”) skanów, a także </w:t>
            </w:r>
            <w:r w:rsidRPr="003C2DB7">
              <w:rPr>
                <w:rFonts w:cs="Times New Roman"/>
                <w:sz w:val="20"/>
                <w:szCs w:val="20"/>
              </w:rPr>
              <w:t>automatyczne zarządzanie retencją danych - usuwanie skanów po określonym czasie od autoryzacji przypadku.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076FC23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 – 10 pkt</w:t>
            </w:r>
            <w:r w:rsidRPr="003C2DB7">
              <w:rPr>
                <w:rFonts w:cs="Times New Roman"/>
                <w:sz w:val="20"/>
                <w:szCs w:val="20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FB3B6E9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C7CED93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4769681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51240E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E0E607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Automatyczne umieszczanie skanów (oparte o kod kreskowy w polu opisowym preparatu) w kontekście </w:t>
            </w:r>
            <w:r w:rsidRPr="003C2DB7">
              <w:rPr>
                <w:rFonts w:cs="Times New Roman"/>
                <w:sz w:val="20"/>
                <w:szCs w:val="20"/>
              </w:rPr>
              <w:t>odpowiedniego preparatu, również gdy diagnozujący nie wystawi zlecenia skanowania.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3E59C8B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AB36007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E77DD16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5A895D2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CAFEB1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39998F4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Możliwo</w:t>
            </w:r>
            <w:r w:rsidRPr="003C2DB7">
              <w:rPr>
                <w:rFonts w:cs="Times New Roman"/>
                <w:sz w:val="20"/>
                <w:szCs w:val="20"/>
              </w:rPr>
              <w:t>ść obsługi wielu serwerów skanów przez jedną aplikację.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68D9B83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193C662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D2E769D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6D6F6A8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C734CC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416694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Funkcjonalność nie jest ograniczona czasowo lub liczbą preparatów (jedynym </w:t>
            </w:r>
            <w:r w:rsidRPr="003C2DB7">
              <w:rPr>
                <w:rFonts w:cs="Times New Roman"/>
                <w:sz w:val="20"/>
                <w:szCs w:val="20"/>
              </w:rPr>
              <w:t>ograniczeniem na liczbę preparatów jest pojemność przestrzeni dyskowej w oferowanym rozwiązaniu).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B0907E4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480A4A7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6394095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092BBE5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565AB6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9E2F5A0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Rozbudowana wyszukiwarka, umożliwiająca odnalezienie skanu po wielu kryteriach (m.in. typu skanu, kodu kreskowego, dat, numerów </w:t>
            </w:r>
            <w:r w:rsidRPr="003C2DB7">
              <w:rPr>
                <w:rFonts w:cs="Times New Roman"/>
                <w:sz w:val="20"/>
                <w:szCs w:val="20"/>
              </w:rPr>
              <w:t>preparatu/bloczka/materiału/przypadku, lokalizacji anatomicznej, przypisanych znaczników, skanerów, a także treści wpisanych w komentarzach adnotacji).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2F5B81E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7A52B32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676DDE7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7B34C67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32A849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86EE2B2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Możliwość tworzenia, edycji i usuwania komentarzy (adnotacji) bezpośrednio na skanie </w:t>
            </w:r>
            <w:r w:rsidRPr="003C2DB7">
              <w:rPr>
                <w:rFonts w:cs="Times New Roman"/>
                <w:sz w:val="20"/>
                <w:szCs w:val="20"/>
              </w:rPr>
              <w:t xml:space="preserve">preparatu, w celu np. oznaczenia rejonu (tzw. ROI - region of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interest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>) do konsultacji innego patomorfologa. Adnotacje w kształcie: prostokąta, okręgu, wielokąta, linii, swobodnego kształtu oraz punktów o 3 kolorach (czerwony, zielony, niebieski).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0FB88FA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CC2AF26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3C5ED7E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5A9B55C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2AE1527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6E37E2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Funkcjonalność rysowania adnotacji w kształcie okręgu o predefiniowanej powierzchni 1mm2, umożliwiającej pomiary i zliczanie komórek w standaryzowanej powierzchni.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E62B437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BA87707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8EB013D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5E42606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35A9BA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9BD0B86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Do każdej z adnotacji można dodać nieograniczoną liczbę komentarzy, tworząc </w:t>
            </w:r>
            <w:r w:rsidRPr="003C2DB7">
              <w:rPr>
                <w:rFonts w:cs="Times New Roman"/>
                <w:sz w:val="20"/>
                <w:szCs w:val="20"/>
              </w:rPr>
              <w:t>czat między osobami diagnozującymi preparat.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4701469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 – 10 pkt</w:t>
            </w:r>
            <w:r w:rsidRPr="003C2DB7">
              <w:rPr>
                <w:rFonts w:cs="Times New Roman"/>
                <w:sz w:val="20"/>
                <w:szCs w:val="20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ACBB5DF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40CE88D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45DED15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7A5BCA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202993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Możliwość tworzenie obrazów w niskiej rozdzielczości (to co widzimy aktualnie na ekranie, w aktualnym położeniu i powiększeniu) i przesyłanie takiego pliku obrazu w formacie JPG </w:t>
            </w:r>
            <w:r w:rsidRPr="003C2DB7">
              <w:rPr>
                <w:rFonts w:cs="Times New Roman"/>
                <w:sz w:val="20"/>
                <w:szCs w:val="20"/>
              </w:rPr>
              <w:t xml:space="preserve">jako załącznik w kontekście preparatu w systemie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4E7DA67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DB24768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B6A3E24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601ECCD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0126794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1C523D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Funkcjonalność przybliżania i oddalania (zoom) – zmiany powiększenia.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28BADDA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39946CF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A3E3909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0793AC3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A4FAEC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C3AE6A9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Funkcjonalność przesuwania obrazu przy danym powiększeniu (pan).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AAF9A57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DC0D73E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A0E44FB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C26FF2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5CFFBC5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6FA7F7E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Funkcjonalność obrotu skanu o </w:t>
            </w:r>
            <w:r w:rsidRPr="003C2DB7">
              <w:rPr>
                <w:rFonts w:cs="Times New Roman"/>
                <w:sz w:val="20"/>
                <w:szCs w:val="20"/>
              </w:rPr>
              <w:t>wybrany przez użytkownika kąt.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2F9F731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A8CD44A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7B8EB48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49B0A52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1828E8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CE611A9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Funkcjonalność wyświetlania obrazu pola opisowego preparatu wraz z kodem kreskowym oraz danymi materiału, lokalizacji, bloczka i protokołu barwienia (pobranego z systemu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 na podstawie kodu </w:t>
            </w:r>
            <w:r w:rsidRPr="003C2DB7">
              <w:rPr>
                <w:rFonts w:cs="Times New Roman"/>
                <w:sz w:val="20"/>
                <w:szCs w:val="20"/>
              </w:rPr>
              <w:t>kreskowego).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140883E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3B77223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FA28AB8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6BA1989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8BCFA87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4E3BE59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Funkcjonalność nawigatora prezentującego pomniejszony obraz skanu i miejsce, w którym aktualnie się znajdujemy. Automatyczne oznaczanie innym kolorem tła w okienku nawigatora już obejrzanych powierzchni skanu.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00A23BD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009E779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701D052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25934295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16747D9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23C20D4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Funkcjonalność pomiarów liniowych obrazu (określenia realnej odległości w mikrometrach/milimetrach między dwoma punktami wskazanymi przez użytkownika), a także mierzenia powierzchni adnotacji w kształcie prostokąta, wielokąta, okręgu i swobodnego zaznaczan</w:t>
            </w:r>
            <w:r w:rsidRPr="003C2DB7">
              <w:rPr>
                <w:rFonts w:cs="Times New Roman"/>
                <w:sz w:val="20"/>
                <w:szCs w:val="20"/>
              </w:rPr>
              <w:t>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7C44C6B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0B471D4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57F7409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4CA62DB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6E0DC8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21383F8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Funkcjonalność wyświetlania skali (odcinka o wzorcowej długości) dla każdego z powiększeń.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1BA75CE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9464494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7C1B0BE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5EE5480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354E6E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E0E9039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Funkcja pracy synchronicznej kilku osób na tym samym skanie. Jedna z osób (prowadząca prezentację lub konsultant) dokonuje </w:t>
            </w:r>
            <w:r w:rsidRPr="003C2DB7">
              <w:rPr>
                <w:rFonts w:cs="Times New Roman"/>
                <w:sz w:val="20"/>
                <w:szCs w:val="20"/>
              </w:rPr>
              <w:t>przeglądania preparatu, a u pozostałych osób powiększenie i pole widzenia zmienia się synchronicznie i widzą to samo, co osoba prowadząca.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FBFD8BD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DEA9237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AF833BA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615D324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0A00A1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C6D52A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Funkcjonalność zliczania dodanych punktów jako adnotacji w zaznaczonym obrazie oraz sumowania ich </w:t>
            </w:r>
            <w:r w:rsidRPr="003C2DB7">
              <w:rPr>
                <w:rFonts w:cs="Times New Roman"/>
                <w:sz w:val="20"/>
                <w:szCs w:val="20"/>
              </w:rPr>
              <w:t>liczby oraz ilorazów (tzw. ratio).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DEC7A56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41DF310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C025AAB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2341403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F5DC32D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B156DD6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Możliwość indywidualnego dostosowania kolorystyki skanów, osobno dla każdego użytkownika i zintegrowanego skanera w zakresie: jasności, nasycenia, współczynnika gamma oraz balansu kolorów RGB.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0239870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09BD787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5A843E4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23DF134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94A7021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7BC6127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Możliwość indywidualnego włączenia interpretacji profili kolorystycznych ICC zawartych w skanach dostarczanych przez kompatybilne skanery.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0E7F3BA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D7E0941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735BEA2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DBC03BE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FF3A778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6C792B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Możliwość domyślnego obrotu obrazu preparatu w zależności od źródła skanu.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971208B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3FA37A2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1351D90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438BA1C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0E84F30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32C2FE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Wyświetlenie </w:t>
            </w:r>
            <w:r w:rsidRPr="003C2DB7">
              <w:rPr>
                <w:rFonts w:cs="Times New Roman"/>
                <w:sz w:val="20"/>
                <w:szCs w:val="20"/>
              </w:rPr>
              <w:t>wskazanego skanu preparatu standardowej wielkości bez powiększenia w czasie nie dłuższym niż 7 sekund.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56F9351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4736CD0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B2207A1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0838884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CB080B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E006E48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Kontrola dostępu do preparatów zgodnie z uprawnieniami użytkownika w systemie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PatARCH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193834A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320A47E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6536438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6323BAB9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D177D0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DEE6D36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Możliwość pracy poprzez łącza </w:t>
            </w:r>
            <w:r w:rsidRPr="003C2DB7">
              <w:rPr>
                <w:rFonts w:cs="Times New Roman"/>
                <w:sz w:val="20"/>
                <w:szCs w:val="20"/>
              </w:rPr>
              <w:t>internetowe o niewielkiej przepustowości.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EE073D4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3C8633B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993B8C1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5B1AAA7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CBF39A6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F138B77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Wsparcie techniczne – min 36 miesięcy.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BDA3F4E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EBB5C8A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4DA05BB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7D1E1E9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0AF877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4EAC785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Interfejs użytkownika w języku polskim i angielskim.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DF50E6F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D379F5A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9E9102A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26D3176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890A30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1.2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F5879E1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Założenia funkcjonalne modułu analizy obrazu z elementami sztucznej inteligencji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048672E" w14:textId="77777777" w:rsidR="00314723" w:rsidRPr="003C2DB7" w:rsidRDefault="003147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4AB43A1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94E2AF6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5721AC6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35A3D0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3DA0A6D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Analiza obrazu następuje centralnie na dostarczonym serwerze. Nie zużywa mocy obliczeniowej stacji roboczej. Nie dopuszcza się analizy poza infrastrukturą Zamawiającego (np. rozwiązania „chmurowe”).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ECEC359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D291FAC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0DB0EA85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29FA48D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1E0058C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A4197B0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Automatyczna segmentacja skanu – oznaczanie tła, tkanki nowotworowej i podścieliska. </w:t>
            </w:r>
            <w:r w:rsidRPr="003C2DB7">
              <w:rPr>
                <w:rFonts w:cs="Times New Roman"/>
                <w:bCs/>
                <w:sz w:val="20"/>
                <w:szCs w:val="20"/>
              </w:rPr>
              <w:t>Funkcja uruchamiana na żądanie lub jako element obróbki wstępnej bezpośrednio po skanowaniu. Powinna wskazywać i oznaczać odpowiednie obszary przy użyciu kolorów lub adnot</w:t>
            </w:r>
            <w:r w:rsidRPr="003C2DB7">
              <w:rPr>
                <w:rFonts w:cs="Times New Roman"/>
                <w:bCs/>
                <w:sz w:val="20"/>
                <w:szCs w:val="20"/>
              </w:rPr>
              <w:t>acji z możliwością regulacji przezroczystości oznaczeń.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1650DE2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CD273DD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0B3BA2E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510228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1C8F038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B449D8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Możliwość konfiguracji automatycznego obliczana maski segmentującej dla każdego zintegrowanego skanera oddzielnie.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381B178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1823CD0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C63A078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6D2D8F91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709F2C2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3B2C229" w14:textId="77777777" w:rsidR="00314723" w:rsidRPr="003C2DB7" w:rsidRDefault="003C2DB7">
            <w:pPr>
              <w:rPr>
                <w:rFonts w:cs="Times New Roman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Algorytmy do analizy preparatów </w:t>
            </w:r>
            <w:r w:rsidRPr="003C2DB7">
              <w:rPr>
                <w:rFonts w:cs="Times New Roman"/>
                <w:sz w:val="20"/>
                <w:szCs w:val="20"/>
              </w:rPr>
              <w:t>immunohistochemicznych w zakresie reakcji jądrowych i błonowych dla przeciwciał: Ki-67, ER (estrogen), PR (progesteron) [</w:t>
            </w:r>
            <w:r w:rsidRPr="003C2DB7">
              <w:rPr>
                <w:rFonts w:cs="Times New Roman"/>
                <w:bCs/>
                <w:sz w:val="20"/>
                <w:szCs w:val="20"/>
              </w:rPr>
              <w:t>wskazanie odsetka dodatnich jąder komórkowych oraz wskazanie odsetka komórek ze słabą/umiarkowanie nasiloną/silną ekspresją]</w:t>
            </w:r>
            <w:r w:rsidRPr="003C2DB7">
              <w:rPr>
                <w:rFonts w:cs="Times New Roman"/>
                <w:sz w:val="20"/>
                <w:szCs w:val="20"/>
              </w:rPr>
              <w:t>, HER2 [</w:t>
            </w:r>
            <w:r w:rsidRPr="003C2DB7">
              <w:rPr>
                <w:rFonts w:cs="Times New Roman"/>
                <w:bCs/>
                <w:sz w:val="20"/>
                <w:szCs w:val="20"/>
              </w:rPr>
              <w:t>wsk</w:t>
            </w:r>
            <w:r w:rsidRPr="003C2DB7">
              <w:rPr>
                <w:rFonts w:cs="Times New Roman"/>
                <w:bCs/>
                <w:sz w:val="20"/>
                <w:szCs w:val="20"/>
              </w:rPr>
              <w:t>azanie odsetka komórek z silną błonową ciągłą reakcją] oraz zliczanie mitoz [analiza figur podziału], zliczanie % utkania nowotworowego.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BCF75E3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0EA5AE3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9AD6CA3" w14:textId="77777777" w:rsidR="00314723" w:rsidRPr="003C2DB7" w:rsidRDefault="00314723">
            <w:pPr>
              <w:snapToGrid w:val="0"/>
              <w:rPr>
                <w:rFonts w:cs="Times New Roman"/>
                <w:color w:val="CE181E"/>
              </w:rPr>
            </w:pPr>
          </w:p>
        </w:tc>
      </w:tr>
      <w:tr w:rsidR="00314723" w:rsidRPr="003C2DB7" w14:paraId="5F3065C6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7E98C2A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5B2DCAF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Możliwość zawężenia działania algorytmów do obszarów oznaczonych jako tkanka nowotworowa.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9C8EC9B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C29D7A5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C42868B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5776801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BD509E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FCAA8A0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Analiza obszaru zawierającego 2000 komórek nie dłużej niż 60 sekund.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CB3B2D4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 – 10 pkt</w:t>
            </w:r>
            <w:r w:rsidRPr="003C2DB7">
              <w:rPr>
                <w:rFonts w:cs="Times New Roman"/>
                <w:sz w:val="20"/>
                <w:szCs w:val="20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4E04B67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BB986D5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2557337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81D66C5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FC810A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Informacja o kolejce operacji do wykonania z podziałem na segmentacje i adnotacje. Elementy na liście powinny być odnośnikami do konkretnych </w:t>
            </w:r>
            <w:r w:rsidRPr="003C2DB7">
              <w:rPr>
                <w:rFonts w:cs="Times New Roman"/>
                <w:sz w:val="20"/>
                <w:szCs w:val="20"/>
              </w:rPr>
              <w:t>adnotacji.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3EF1EA5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7777AC1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DAD1DA5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2AFB4C64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D5EEF4B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1.3</w:t>
            </w: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0EE284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Założenia sprzętowe.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C14CCB9" w14:textId="77777777" w:rsidR="00314723" w:rsidRPr="003C2DB7" w:rsidRDefault="0031472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4FECF31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E5F598C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698E980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5AE6DFA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FBDB48A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System do przechowywania skanów jednocześnie integrujący w sobie funkcje analizy obrazu.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BC3C5C1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0868316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635FB423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0760ACD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E6C15CC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38CFC3E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Podręczna przestrzeń dyskowa do przetwarzania danych: min. 300 TB netto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2B594CA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B19E10C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ADB7721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29C250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B891DD6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64A5987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System odporny na awarię </w:t>
            </w:r>
            <w:r w:rsidRPr="003C2DB7">
              <w:rPr>
                <w:rFonts w:cs="Times New Roman"/>
                <w:sz w:val="20"/>
                <w:szCs w:val="20"/>
              </w:rPr>
              <w:t>dwóch, dowolnych dysków (RAID 6)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D59987D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13BC469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CEAB12F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A42ED8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B4545ED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B985A67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Dodatkowy min 1 dysk pracujący w trybie hot-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spare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>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ED1224C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81D8145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EF50EBA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01679A8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49F4CE8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E56133C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Podręczna przestrzeń dyskowa cache SSD do przetwarzania danych: min. 3 TB netto. System odporny na awarię pojedynczego dysku (RAID 1/RAID 10).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072CAC0F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7D164F5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71AFCF9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75691B67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E9EE342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081551D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W </w:t>
            </w:r>
            <w:r w:rsidRPr="003C2DB7">
              <w:rPr>
                <w:rFonts w:cs="Times New Roman"/>
                <w:sz w:val="20"/>
                <w:szCs w:val="20"/>
              </w:rPr>
              <w:t>razie awarii, uszkodzone dyski zostają u Zamawiającego.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6CAAFB65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67B44EE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2104662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1BC64692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C4D3DB8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45AD10" w14:textId="77777777" w:rsidR="00314723" w:rsidRPr="003C2DB7" w:rsidRDefault="003C2DB7">
            <w:pPr>
              <w:rPr>
                <w:rFonts w:cs="Times New Roman"/>
              </w:rPr>
            </w:pPr>
            <w:r w:rsidRPr="003C2DB7">
              <w:rPr>
                <w:rFonts w:cs="Times New Roman"/>
                <w:sz w:val="20"/>
                <w:szCs w:val="20"/>
              </w:rPr>
              <w:t>Moc obliczeniowa (procesory, ich liczba, częstotliwość taktowania, ilość pamięci RAM), a także żywotność dysków dostosowane do planowanego obciążenia systemu – dostawca bierze pełną odpowiedzialność za prawidłowe funkcjonowanie systemu zgodne z SIWZ.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E0D03E5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45B542A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4EB89F5B" w14:textId="77777777" w:rsidR="00314723" w:rsidRPr="003C2DB7" w:rsidRDefault="00314723">
            <w:pPr>
              <w:snapToGrid w:val="0"/>
              <w:rPr>
                <w:rFonts w:cs="Times New Roman"/>
                <w:color w:val="CE181E"/>
              </w:rPr>
            </w:pPr>
          </w:p>
        </w:tc>
      </w:tr>
      <w:tr w:rsidR="00314723" w:rsidRPr="003C2DB7" w14:paraId="3E416BC0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08E00B8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2BE56BC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Brak ograniczenia jednocześnie pracującej liczby użytkowników. Zachowanie wydajności przy jednoczesnej pracy do 20 osób prz</w:t>
            </w:r>
            <w:r w:rsidRPr="003C2DB7">
              <w:rPr>
                <w:rFonts w:cs="Times New Roman"/>
                <w:sz w:val="20"/>
                <w:szCs w:val="20"/>
              </w:rPr>
              <w:t>y różnych stanowiskach.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B120D23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E8EE350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AB35E9D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0823CC6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ECF7FDC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691655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Liczba jednocześnie prowadzonych analiz obrazu – 1 wątek. W przypadku większej liczby </w:t>
            </w:r>
            <w:r w:rsidRPr="003C2DB7">
              <w:rPr>
                <w:rFonts w:cs="Times New Roman"/>
                <w:sz w:val="20"/>
                <w:szCs w:val="20"/>
              </w:rPr>
              <w:t>żądanych jednocześnie analiz, możliwość kolejkowania zadania i po zakończeniu bieżącego automatycznie inicjuje wykonanie kolejnego zadania z kolejki.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F8A74A6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DA9DFDE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8FE2024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6F84570B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6065AEFC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7F6E764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Zasilacze redundantne AC 230V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617CC1C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9FE0D6A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2555AAD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4C808352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30C23AD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3C1863B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Interfejsy IPMI+KVM do zdalnego zarządzania </w:t>
            </w:r>
            <w:r w:rsidRPr="003C2DB7">
              <w:rPr>
                <w:rFonts w:cs="Times New Roman"/>
                <w:sz w:val="20"/>
                <w:szCs w:val="20"/>
              </w:rPr>
              <w:t>(dedykowane karty sieciowe).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2474BDD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4365399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2331E73B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01BB37BA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793AC62A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5ED1303E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Interfejsy sieciowe: 2 x 1Gbit/s RJ45 + 2 x SFP+ 10Gbit/s.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1A34A573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70BBE7F8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73BF01F6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71C18EFF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65589B4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1A907B89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Zajętość w szafie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rack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 19” – max. 4U. Cały dostarczany sprzęt zainstalowany zostanie w szafie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rack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 19”, wyposażony w niezbędne szyny </w:t>
            </w:r>
            <w:r w:rsidRPr="003C2DB7">
              <w:rPr>
                <w:rFonts w:cs="Times New Roman"/>
                <w:sz w:val="20"/>
                <w:szCs w:val="20"/>
              </w:rPr>
              <w:t>montażowe, okablowanie, itp.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3E009A2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 – 10 pkt</w:t>
            </w:r>
            <w:r w:rsidRPr="003C2DB7">
              <w:rPr>
                <w:rFonts w:cs="Times New Roman"/>
                <w:sz w:val="20"/>
                <w:szCs w:val="20"/>
              </w:rPr>
              <w:br/>
              <w:t>NIE – 0 pkt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34DE5266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500BDA46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779ACA58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2997D3CF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40A579C0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Jeżeli wdrożenie wymaga użycia dodatkowych licencji komercyjnych (np. systemy operacyjne, bazy danych itp.), to należy je dostarczyć w ramach niniejszego zamówienia.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273C9484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5A1A56A8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3F7B488B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  <w:tr w:rsidR="00314723" w:rsidRPr="003C2DB7" w14:paraId="2B0F6CAC" w14:textId="77777777">
        <w:trPr>
          <w:cantSplit/>
        </w:trPr>
        <w:tc>
          <w:tcPr>
            <w:tcW w:w="81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0851879C" w14:textId="77777777" w:rsidR="00314723" w:rsidRPr="003C2DB7" w:rsidRDefault="0031472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448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</w:tcPr>
          <w:p w14:paraId="3ACC260B" w14:textId="77777777" w:rsidR="00314723" w:rsidRPr="003C2DB7" w:rsidRDefault="003C2DB7">
            <w:pPr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 xml:space="preserve">Gwarancja na </w:t>
            </w:r>
            <w:r w:rsidRPr="003C2DB7">
              <w:rPr>
                <w:rFonts w:cs="Times New Roman"/>
                <w:sz w:val="20"/>
                <w:szCs w:val="20"/>
              </w:rPr>
              <w:t>serwer min. 36 m-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cy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 z naprawą na następny dzień roboczy w miejscu instalacji (on-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site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next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 xml:space="preserve"> business </w:t>
            </w:r>
            <w:proofErr w:type="spellStart"/>
            <w:r w:rsidRPr="003C2DB7">
              <w:rPr>
                <w:rFonts w:cs="Times New Roman"/>
                <w:sz w:val="20"/>
                <w:szCs w:val="20"/>
              </w:rPr>
              <w:t>day</w:t>
            </w:r>
            <w:proofErr w:type="spellEnd"/>
            <w:r w:rsidRPr="003C2DB7">
              <w:rPr>
                <w:rFonts w:cs="Times New Roman"/>
                <w:sz w:val="20"/>
                <w:szCs w:val="20"/>
              </w:rPr>
              <w:t>).</w:t>
            </w:r>
          </w:p>
        </w:tc>
        <w:tc>
          <w:tcPr>
            <w:tcW w:w="1280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4DC3A94" w14:textId="77777777" w:rsidR="00314723" w:rsidRPr="003C2DB7" w:rsidRDefault="003C2DB7">
            <w:pPr>
              <w:jc w:val="center"/>
              <w:rPr>
                <w:rFonts w:cs="Times New Roman"/>
                <w:sz w:val="20"/>
                <w:szCs w:val="20"/>
              </w:rPr>
            </w:pPr>
            <w:r w:rsidRPr="003C2DB7">
              <w:rPr>
                <w:rFonts w:cs="Times New Roman"/>
                <w:sz w:val="20"/>
                <w:szCs w:val="20"/>
              </w:rPr>
              <w:t>TAK</w:t>
            </w:r>
          </w:p>
        </w:tc>
        <w:tc>
          <w:tcPr>
            <w:tcW w:w="141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vAlign w:val="center"/>
          </w:tcPr>
          <w:p w14:paraId="4FC01DA6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2042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vAlign w:val="center"/>
          </w:tcPr>
          <w:p w14:paraId="183E5A00" w14:textId="77777777" w:rsidR="00314723" w:rsidRPr="003C2DB7" w:rsidRDefault="00314723">
            <w:pPr>
              <w:snapToGrid w:val="0"/>
              <w:rPr>
                <w:rFonts w:cs="Times New Roman"/>
                <w:sz w:val="20"/>
                <w:szCs w:val="20"/>
              </w:rPr>
            </w:pPr>
          </w:p>
        </w:tc>
      </w:tr>
    </w:tbl>
    <w:p w14:paraId="09C8BE95" w14:textId="77777777" w:rsidR="00314723" w:rsidRPr="003C2DB7" w:rsidRDefault="00314723">
      <w:pPr>
        <w:rPr>
          <w:rFonts w:cs="Times New Roman"/>
        </w:rPr>
      </w:pPr>
    </w:p>
    <w:p w14:paraId="524B00B9" w14:textId="77777777" w:rsidR="00314723" w:rsidRPr="003C2DB7" w:rsidRDefault="00314723">
      <w:pPr>
        <w:rPr>
          <w:rFonts w:cs="Times New Roman"/>
        </w:rPr>
      </w:pPr>
    </w:p>
    <w:sectPr w:rsidR="00314723" w:rsidRPr="003C2DB7">
      <w:pgSz w:w="11906" w:h="16838"/>
      <w:pgMar w:top="1417" w:right="1417" w:bottom="1417" w:left="1417" w:header="0" w:footer="0" w:gutter="0"/>
      <w:cols w:space="708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4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723"/>
    <w:rsid w:val="00314723"/>
    <w:rsid w:val="003C2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11FFC"/>
  <w15:docId w15:val="{081EB7A2-BD06-41FA-8F6E-B32F77D80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30497"/>
    <w:pPr>
      <w:widowControl w:val="0"/>
      <w:suppressAutoHyphens/>
    </w:pPr>
    <w:rPr>
      <w:rFonts w:ascii="Times New Roman" w:eastAsia="Lucida Sans Unicode" w:hAnsi="Times New Roman" w:cs="Mangal"/>
      <w:color w:val="00000A"/>
      <w:kern w:val="2"/>
      <w:sz w:val="24"/>
      <w:szCs w:val="24"/>
      <w:lang w:eastAsia="zh-CN" w:bidi="hi-IN"/>
    </w:rPr>
  </w:style>
  <w:style w:type="paragraph" w:styleId="Nagwek2">
    <w:name w:val="heading 2"/>
    <w:basedOn w:val="Normalny"/>
    <w:link w:val="Nagwek2Znak"/>
    <w:semiHidden/>
    <w:unhideWhenUsed/>
    <w:qFormat/>
    <w:rsid w:val="00930497"/>
    <w:pPr>
      <w:keepNext/>
      <w:spacing w:before="240" w:after="60"/>
      <w:jc w:val="center"/>
      <w:outlineLvl w:val="1"/>
    </w:pPr>
    <w:rPr>
      <w:rFonts w:ascii="Arial" w:hAnsi="Arial" w:cs="Arial"/>
      <w:b/>
      <w:bCs/>
      <w:i/>
      <w:iCs/>
      <w:szCs w:val="28"/>
    </w:rPr>
  </w:style>
  <w:style w:type="paragraph" w:styleId="Nagwek3">
    <w:name w:val="heading 3"/>
    <w:basedOn w:val="Normalny"/>
    <w:link w:val="Nagwek3Znak"/>
    <w:uiPriority w:val="9"/>
    <w:semiHidden/>
    <w:unhideWhenUsed/>
    <w:qFormat/>
    <w:rsid w:val="00BD654C"/>
    <w:pPr>
      <w:keepNext/>
      <w:keepLines/>
      <w:spacing w:before="40"/>
      <w:outlineLvl w:val="2"/>
    </w:pPr>
    <w:rPr>
      <w:rFonts w:asciiTheme="majorHAnsi" w:eastAsiaTheme="majorEastAsia" w:hAnsiTheme="majorHAnsi"/>
      <w:color w:val="1F4D78" w:themeColor="accent1" w:themeShade="7F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semiHidden/>
    <w:qFormat/>
    <w:rsid w:val="00930497"/>
    <w:rPr>
      <w:rFonts w:ascii="Arial" w:eastAsia="Lucida Sans Unicode" w:hAnsi="Arial" w:cs="Arial"/>
      <w:b/>
      <w:bCs/>
      <w:i/>
      <w:iCs/>
      <w:kern w:val="2"/>
      <w:sz w:val="24"/>
      <w:szCs w:val="28"/>
      <w:lang w:eastAsia="zh-CN" w:bidi="hi-IN"/>
    </w:rPr>
  </w:style>
  <w:style w:type="character" w:customStyle="1" w:styleId="Nagwek3Znak">
    <w:name w:val="Nagłówek 3 Znak"/>
    <w:basedOn w:val="Domylnaczcionkaakapitu"/>
    <w:link w:val="Nagwek3"/>
    <w:uiPriority w:val="9"/>
    <w:semiHidden/>
    <w:qFormat/>
    <w:rsid w:val="00BD654C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eastAsia="zh-CN" w:bidi="hi-IN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Default">
    <w:name w:val="Default"/>
    <w:qFormat/>
    <w:rsid w:val="00930497"/>
    <w:pPr>
      <w:suppressAutoHyphens/>
    </w:pPr>
    <w:rPr>
      <w:rFonts w:ascii="Calibri" w:eastAsia="Calibri" w:hAnsi="Calibri" w:cs="Calibri"/>
      <w:color w:val="000000"/>
      <w:sz w:val="24"/>
      <w:szCs w:val="24"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1299</Words>
  <Characters>7800</Characters>
  <Application>Microsoft Office Word</Application>
  <DocSecurity>0</DocSecurity>
  <Lines>65</Lines>
  <Paragraphs>18</Paragraphs>
  <ScaleCrop>false</ScaleCrop>
  <Company/>
  <LinksUpToDate>false</LinksUpToDate>
  <CharactersWithSpaces>9081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Przemek</dc:creator>
  <dc:description/>
  <cp:lastModifiedBy>Magdalena Kapturska</cp:lastModifiedBy>
  <cp:revision>10</cp:revision>
  <dcterms:created xsi:type="dcterms:W3CDTF">2025-10-05T18:56:00Z</dcterms:created>
  <dcterms:modified xsi:type="dcterms:W3CDTF">2025-10-14T10:56:00Z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